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横塘坞水库防洪抢险应急预案</w:t>
      </w:r>
    </w:p>
    <w:p>
      <w:p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1、总则</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1.1编制目的</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为了防治洪水，防御并减轻洪涝灾害，保障人民生命财产安全，减少水灾损失，减少水患，以及做好水库防洪工作，特编制横塘坞水库防洪抢险应急预案。</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1.2编制依据</w:t>
      </w:r>
    </w:p>
    <w:p>
      <w:pPr>
        <w:keepNext w:val="0"/>
        <w:keepLines w:val="0"/>
        <w:pageBreakBefore w:val="0"/>
        <w:widowControl w:val="0"/>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横塘坞水库防洪抢险应急预案编制根据《中华人民共和国水法》、《中华人民共和国防洪法》及《中华人民共和国防汛条例》和江西省实施《中华人民共和国水法》办法与市、县防汛抗旱指挥部下达的文件精神为依据，现编制2024年横塘坞水库防洪抢险应急预案。</w:t>
      </w:r>
    </w:p>
    <w:p>
      <w:pPr>
        <w:numPr>
          <w:ilvl w:val="0"/>
          <w:numId w:val="1"/>
        </w:numPr>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基本情况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2.1工程概况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横塘坞水库位于浮梁镇大洲村，大坝坝址所处地理位置东经117°275079，北纬29°399511，距浮梁镇政府所在地9KM，属饶河昌江支流。横塘坞水库始建于1958年9月，1958年2月竣工。总库容48.2万m³，主要建筑物由斜涵、大坝、平涵、溢洪道、值班房及监控设备组成。溢洪道位于水库左边，斜涵、平涵位于水库大坝中间，值班房位于水库左边，其他设备安装在水库大坝坝体上。水库主要以农田灌溉为主。</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横塘坞水库2012年列入浮梁县2012年病险水库除险加固项目。并经过上级部门竣工验收，工程项目建设合格。</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横塘坞水库设施安全管理交由浮梁镇人民政府管理，运行管理由浮梁镇农业农村办负责管理，维修养护统一由县水利开发建设有限公司负责。水库管理2人，其中镇政府水利部门1人，村级水管员1人。</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横塘坞水库经过2015年除险加固后无主要问题，目前存在的问题是由于强降雨上游漂浮杂物流向溢洪道及斜涵。发现有漂浮物有管理人员及时打捞。</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2.2防洪调度方式</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水库防洪调度主要是利用水库的调蓄作用和控泄能力有计划地调节洪水，主要有以下调度方式：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固定泄洪调度，控制下泄流量。</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防洪预报调度。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防洪与兴利联合调度。</w:t>
      </w:r>
    </w:p>
    <w:p>
      <w:pPr>
        <w:keepNext w:val="0"/>
        <w:keepLines w:val="0"/>
        <w:pageBreakBefore w:val="0"/>
        <w:widowControl w:val="0"/>
        <w:numPr>
          <w:ilvl w:val="0"/>
          <w:numId w:val="2"/>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水库工程安全防洪调度。</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以上四种水库防洪调度根据雨情灵活多样进行水库防洪调度，确保水库安全运行。</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2.3历史险情及抢险情况</w:t>
      </w:r>
    </w:p>
    <w:p>
      <w:pPr>
        <w:keepNext w:val="0"/>
        <w:keepLines w:val="0"/>
        <w:pageBreakBefore w:val="0"/>
        <w:widowControl w:val="0"/>
        <w:numPr>
          <w:ilvl w:val="0"/>
          <w:numId w:val="0"/>
        </w:numPr>
        <w:kinsoku/>
        <w:wordWrap/>
        <w:overflowPunct/>
        <w:topLinePunct w:val="0"/>
        <w:autoSpaceDE/>
        <w:autoSpaceDN/>
        <w:bidi w:val="0"/>
        <w:adjustRightInd/>
        <w:snapToGrid/>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1996年6月份水库未进行除险加固，大暴雨溢洪道水位高达0.4米。下游多处地带冲毁。2012年横塘坞水库除险加固后，多年来，溢洪道最高水位0.2米，防汛抢险人员及时疏通溢洪道杂物。</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应急保障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3.1组织保障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（一）加强水库组织保障措施，确保五个责任人到岗到位。</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1.行政责任人：任爱民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2.主管责任人：黄杰权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3.管理责任人：何梁    新平村书记    18870388505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4.技术责任人：余顺发   镇农业农村办主任（水利技术员）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5.巡查责任人：吴海生   巡查员       15079853895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（二）横塘坞水库临时指挥部组成：</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（1）临时指挥部负责人：任爱民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1.根据汛情，及时做出工作部署;</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2.协调解决水库大坝防洪安全管理的重大问题;</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3.组织防洪抢险和重大事件的应急处置;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4.负责向上级政府责任人报告重大事件。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1.监督指导水库开展防洪调度;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2.组织防汛安全检查;</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4.组织防汛知识和技能培训;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5.负责向上级防汛部门报告重大事件。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余顺发   技术员   13407988565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2.指导防汛准备;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3.指导防洪调度;</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何梁    新平村书记   18870388505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2.开展防汛安全检查,做好防汛准备;</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3.开展防洪抢险和重大事件的应急处置;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4.组织职工参加防汛知识培训;</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5.负责向防汛部门报告险情和重大事件。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吴海生   巡查员   15079853895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1.执行水库防洪调度运用计划（度汛方案）及应急预案;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2.开展巡查、雨水情观测,做好记录;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3.按规定的要求进行报汛;</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4.参与防洪抢险和重大事件的应急处置;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5.负责向管理责任人报告险情和重大事件。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3.2队伍保障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抢险队伍人员名单：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队长：黄杰权   浮梁镇党委委员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成员：余顺发、付江江、方怡舟、吴伟、田慧军、周镇华、程容华、程云萍、程育才、齐文斌、程有根、范松友、余立璇、胡俊杰、杨文兴。</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3.3物资保障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横塘坞水库备有块石5方，沙石料5方，编织袋300条，木柱20根。存放在水库值班房及水库沙石料池内，管理员吴海生，联系电话：15079853895.</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3.4其他保障</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横塘坞水库通信、交通、电力保障正常。汛前开展防洪巡查并进行演练。</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巡查与险情处置</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4.1巡查与险情报告</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水库巡查包括水库坝体、坝基、斜涵、平涵、溢洪道及通信监控设备等设施有无渗漏、堵塞及设备损坏情况发生，采取现场检查察看方式巡查，做到主汛期每天巡查1次，后汛期每2天巡查1次，非主汛期7天巡查1次，并做好巡察记录。</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险情报告。如发现水库出现险情时向上级管理单位上报，同时并关注险情变化，保障信息畅通。</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4.2险情处理</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人员发现险情后，立即报告水库直接责任人及行政责任人，应急抢险临时指挥部接到险情报告后，第一时间向下游预警，并制定水库险情处置方案，组织抢险队伍人员实施抢险。险情处置完成后，安排人员24小时值班监测。</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若险情威胁大坝安全，应立即向上级防汛指挥机构报告，请求支援，同时做好下游危险区人员转移安置准备工作，确保人员安全。</w:t>
      </w:r>
    </w:p>
    <w:p>
      <w:pPr>
        <w:numPr>
          <w:ilvl w:val="0"/>
          <w:numId w:val="1"/>
        </w:numPr>
        <w:tabs>
          <w:tab w:val="left" w:pos="1799"/>
          <w:tab w:val="center" w:pos="4453"/>
        </w:tabs>
        <w:ind w:left="0" w:leftChars="0" w:firstLine="562" w:firstLineChars="200"/>
        <w:jc w:val="left"/>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超标准洪水与溃坝防御方案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5.1超标准洪水防御方案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水库在无超标准洪水时，把水位降至汛限水位以下，腾出库容，加强值班巡查，水库行政责任人、主管责任人、管理责任人、技术责任人、巡查责任人到岗到位，同时通知水库下游群众转移到安全区。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5.2溃坝洪水防御方案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当遇到溃坝失事防御方案</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当遇到水库溃坝时应采取应变措施：</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1.</w:t>
      </w:r>
      <w:r>
        <w:rPr>
          <w:rFonts w:hint="eastAsia" w:ascii="宋体" w:hAnsi="宋体" w:eastAsia="宋体" w:cs="宋体"/>
          <w:sz w:val="28"/>
          <w:szCs w:val="28"/>
          <w:lang w:val="en-US" w:eastAsia="zh-CN"/>
        </w:rPr>
        <w:t>降低溢洪道，加快洪水泄洪能力；</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2.</w:t>
      </w:r>
      <w:r>
        <w:rPr>
          <w:rFonts w:hint="eastAsia" w:ascii="宋体" w:hAnsi="宋体" w:eastAsia="宋体" w:cs="宋体"/>
          <w:sz w:val="28"/>
          <w:szCs w:val="28"/>
          <w:lang w:val="en-US" w:eastAsia="zh-CN"/>
        </w:rPr>
        <w:t>增加泄洪能力，快速泄洪；</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3.</w:t>
      </w:r>
      <w:r>
        <w:rPr>
          <w:rFonts w:hint="eastAsia" w:ascii="宋体" w:hAnsi="宋体" w:eastAsia="宋体" w:cs="宋体"/>
          <w:sz w:val="28"/>
          <w:szCs w:val="28"/>
          <w:lang w:val="en-US" w:eastAsia="zh-CN"/>
        </w:rPr>
        <w:t>及时通知下游人员安全转移到安全区；</w:t>
      </w:r>
    </w:p>
    <w:p>
      <w:pPr>
        <w:keepNext w:val="0"/>
        <w:keepLines w:val="0"/>
        <w:pageBreakBefore w:val="0"/>
        <w:widowControl w:val="0"/>
        <w:numPr>
          <w:ilvl w:val="0"/>
          <w:numId w:val="0"/>
        </w:numPr>
        <w:kinsoku/>
        <w:wordWrap/>
        <w:overflowPunct/>
        <w:topLinePunct w:val="0"/>
        <w:autoSpaceDE/>
        <w:autoSpaceDN/>
        <w:bidi w:val="0"/>
        <w:adjustRightInd/>
        <w:snapToGrid/>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4.</w:t>
      </w:r>
      <w:r>
        <w:rPr>
          <w:rFonts w:hint="eastAsia" w:ascii="宋体" w:hAnsi="宋体" w:eastAsia="宋体" w:cs="宋体"/>
          <w:sz w:val="28"/>
          <w:szCs w:val="28"/>
          <w:lang w:val="en-US" w:eastAsia="zh-CN"/>
        </w:rPr>
        <w:t>快速降低水库水位是应对超标准洪水的关键措施。</w:t>
      </w:r>
    </w:p>
    <w:p>
      <w:pPr>
        <w:numPr>
          <w:ilvl w:val="0"/>
          <w:numId w:val="1"/>
        </w:numPr>
        <w:ind w:left="0" w:leftChars="0" w:firstLine="562" w:firstLineChars="200"/>
        <w:jc w:val="both"/>
        <w:rPr>
          <w:rFonts w:hint="eastAsia" w:ascii="宋体" w:hAnsi="宋体" w:eastAsia="宋体" w:cs="宋体"/>
          <w:sz w:val="28"/>
          <w:szCs w:val="28"/>
          <w:lang w:val="en-US" w:eastAsia="zh-CN"/>
        </w:rPr>
      </w:pPr>
      <w:r>
        <w:rPr>
          <w:rFonts w:hint="eastAsia" w:ascii="宋体" w:hAnsi="宋体" w:eastAsia="宋体" w:cs="宋体"/>
          <w:b/>
          <w:bCs/>
          <w:sz w:val="28"/>
          <w:szCs w:val="28"/>
          <w:lang w:val="en-US" w:eastAsia="zh-CN"/>
        </w:rPr>
        <w:t>人员转移及安置</w:t>
      </w:r>
    </w:p>
    <w:p>
      <w:pPr>
        <w:keepNext w:val="0"/>
        <w:keepLines w:val="0"/>
        <w:pageBreakBefore w:val="0"/>
        <w:widowControl w:val="0"/>
        <w:numPr>
          <w:ilvl w:val="0"/>
          <w:numId w:val="0"/>
        </w:numPr>
        <w:kinsoku/>
        <w:wordWrap/>
        <w:overflowPunct/>
        <w:topLinePunct w:val="0"/>
        <w:autoSpaceDE/>
        <w:autoSpaceDN/>
        <w:bidi w:val="0"/>
        <w:adjustRightInd/>
        <w:snapToGrid/>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水库下游转移地点：水库下游无人员转移</w:t>
      </w:r>
    </w:p>
    <w:p>
      <w:pPr>
        <w:numPr>
          <w:ilvl w:val="0"/>
          <w:numId w:val="1"/>
        </w:numPr>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附图和附表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7.1附图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图一：水库地理位置示意图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图二：水库枢纽平面布置图</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7.2附表</w:t>
      </w:r>
    </w:p>
    <w:p>
      <w:pPr>
        <w:keepNext w:val="0"/>
        <w:keepLines w:val="0"/>
        <w:pageBreakBefore w:val="0"/>
        <w:widowControl w:val="0"/>
        <w:numPr>
          <w:ilvl w:val="0"/>
          <w:numId w:val="0"/>
        </w:numPr>
        <w:kinsoku/>
        <w:wordWrap/>
        <w:overflowPunct/>
        <w:topLinePunct w:val="0"/>
        <w:autoSpaceDE/>
        <w:autoSpaceDN/>
        <w:bidi w:val="0"/>
        <w:adjustRightInd/>
        <w:snapToGrid/>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水库防洪抢险应急预案简表</w:t>
      </w: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r>
        <w:rPr>
          <w:rFonts w:hint="eastAsia" w:ascii="Times New Roman" w:hAnsi="仿宋_GB2312" w:eastAsia="仿宋_GB2312"/>
          <w:sz w:val="32"/>
          <w:szCs w:val="32"/>
          <w:lang w:eastAsia="zh-CN"/>
        </w:rPr>
        <w:drawing>
          <wp:anchor distT="0" distB="0" distL="114300" distR="114300" simplePos="0" relativeHeight="251659264" behindDoc="0" locked="0" layoutInCell="1" allowOverlap="1">
            <wp:simplePos x="0" y="0"/>
            <wp:positionH relativeFrom="column">
              <wp:posOffset>42545</wp:posOffset>
            </wp:positionH>
            <wp:positionV relativeFrom="paragraph">
              <wp:posOffset>236220</wp:posOffset>
            </wp:positionV>
            <wp:extent cx="5137785" cy="4273550"/>
            <wp:effectExtent l="0" t="0" r="0" b="0"/>
            <wp:wrapNone/>
            <wp:docPr id="12" name="图片 12" descr="横塘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横塘坞"/>
                    <pic:cNvPicPr>
                      <a:picLocks noChangeAspect="1"/>
                    </pic:cNvPicPr>
                  </pic:nvPicPr>
                  <pic:blipFill>
                    <a:blip r:embed="rId4"/>
                    <a:srcRect b="51746"/>
                    <a:stretch>
                      <a:fillRect/>
                    </a:stretch>
                  </pic:blipFill>
                  <pic:spPr>
                    <a:xfrm>
                      <a:off x="0" y="0"/>
                      <a:ext cx="5137785" cy="427355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t>图一</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eastAsia" w:ascii="仿宋_GB2312" w:hAnsi="仿宋_GB2312" w:eastAsia="仿宋_GB2312" w:cs="仿宋_GB2312"/>
          <w:b/>
          <w:bCs/>
          <w:sz w:val="32"/>
          <w:szCs w:val="32"/>
          <w:lang w:val="en-US" w:eastAsia="zh-CN"/>
        </w:rPr>
      </w:pPr>
    </w:p>
    <w:p>
      <w:pPr>
        <w:rPr>
          <w:rFonts w:hint="eastAsia" w:ascii="仿宋_GB2312" w:hAnsi="仿宋_GB2312" w:eastAsia="仿宋_GB2312" w:cs="仿宋_GB2312"/>
          <w:b/>
          <w:bCs/>
          <w:sz w:val="32"/>
          <w:szCs w:val="32"/>
          <w:lang w:val="en-US" w:eastAsia="zh-CN"/>
        </w:rPr>
      </w:pPr>
      <w:r>
        <w:rPr>
          <w:rFonts w:hint="eastAsia" w:ascii="仿宋_GB2312" w:hAnsi="仿宋_GB2312" w:eastAsia="仿宋_GB2312" w:cs="仿宋_GB2312"/>
          <w:b/>
          <w:bCs/>
          <w:sz w:val="32"/>
          <w:szCs w:val="32"/>
          <w:lang w:val="en-US" w:eastAsia="zh-CN"/>
        </w:rPr>
        <w:br w:type="page"/>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eastAsia" w:ascii="仿宋_GB2312" w:hAnsi="仿宋_GB2312" w:eastAsia="仿宋_GB2312" w:cs="仿宋_GB2312"/>
          <w:b/>
          <w:bCs/>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ascii="仿宋_GB2312" w:hAnsi="仿宋_GB2312" w:eastAsia="仿宋_GB2312" w:cs="仿宋_GB2312"/>
          <w:b/>
          <w:bCs/>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sz w:val="32"/>
          <w:szCs w:val="32"/>
          <w:lang w:val="en-US" w:eastAsia="zh-CN"/>
        </w:rPr>
        <w:drawing>
          <wp:anchor distT="0" distB="0" distL="114300" distR="114300" simplePos="0" relativeHeight="251660288" behindDoc="0" locked="0" layoutInCell="1" allowOverlap="1">
            <wp:simplePos x="0" y="0"/>
            <wp:positionH relativeFrom="column">
              <wp:posOffset>52070</wp:posOffset>
            </wp:positionH>
            <wp:positionV relativeFrom="paragraph">
              <wp:posOffset>245745</wp:posOffset>
            </wp:positionV>
            <wp:extent cx="5270500" cy="5874385"/>
            <wp:effectExtent l="0" t="0" r="6350" b="12065"/>
            <wp:wrapNone/>
            <wp:docPr id="1" name="图片 1"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
                    <pic:cNvPicPr>
                      <a:picLocks noChangeAspect="1"/>
                    </pic:cNvPicPr>
                  </pic:nvPicPr>
                  <pic:blipFill>
                    <a:blip r:embed="rId5"/>
                    <a:stretch>
                      <a:fillRect/>
                    </a:stretch>
                  </pic:blipFill>
                  <pic:spPr>
                    <a:xfrm>
                      <a:off x="0" y="0"/>
                      <a:ext cx="5270500" cy="587438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eastAsia" w:ascii="仿宋_GB2312" w:hAnsi="仿宋_GB2312" w:eastAsia="仿宋_GB2312" w:cs="仿宋_GB2312"/>
          <w:sz w:val="32"/>
          <w:szCs w:val="3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eastAsia" w:ascii="仿宋_GB2312" w:hAnsi="仿宋_GB2312" w:eastAsia="仿宋_GB2312" w:cs="仿宋_GB2312"/>
          <w:sz w:val="32"/>
          <w:szCs w:val="32"/>
          <w:lang w:val="en-US" w:eastAsia="zh-CN"/>
        </w:rPr>
      </w:pPr>
      <w:r>
        <w:rPr>
          <w:rFonts w:hint="eastAsia" w:ascii="仿宋_GB2312" w:hAnsi="仿宋_GB2312" w:eastAsia="仿宋_GB2312" w:cs="仿宋_GB2312"/>
          <w:b/>
          <w:bCs/>
          <w:sz w:val="32"/>
          <w:szCs w:val="32"/>
          <w:lang w:val="en-US" w:eastAsia="zh-CN"/>
        </w:rPr>
        <w:t>图二</w:t>
      </w:r>
    </w:p>
    <w:p>
      <w:pPr>
        <w:keepNext w:val="0"/>
        <w:keepLines w:val="0"/>
        <w:pageBreakBefore w:val="0"/>
        <w:widowControl w:val="0"/>
        <w:numPr>
          <w:ilvl w:val="0"/>
          <w:numId w:val="0"/>
        </w:numPr>
        <w:kinsoku/>
        <w:wordWrap/>
        <w:overflowPunct/>
        <w:topLinePunct w:val="0"/>
        <w:autoSpaceDE/>
        <w:autoSpaceDN/>
        <w:bidi w:val="0"/>
        <w:adjustRightInd/>
        <w:snapToGrid/>
        <w:ind w:leftChars="0"/>
        <w:jc w:val="both"/>
        <w:textAlignment w:val="auto"/>
        <w:rPr>
          <w:rFonts w:hint="eastAsia" w:ascii="仿宋_GB2312" w:hAnsi="仿宋_GB2312" w:eastAsia="仿宋_GB2312" w:cs="仿宋_GB2312"/>
          <w:sz w:val="32"/>
          <w:szCs w:val="32"/>
          <w:lang w:val="en-US" w:eastAsia="zh-CN"/>
        </w:rPr>
        <w:sectPr>
          <w:pgSz w:w="11906" w:h="16838"/>
          <w:pgMar w:top="1440" w:right="1800" w:bottom="1440" w:left="1800" w:header="851" w:footer="992" w:gutter="0"/>
          <w:cols w:space="425" w:num="1"/>
          <w:docGrid w:type="lines" w:linePitch="312" w:charSpace="0"/>
        </w:sectPr>
      </w:pPr>
    </w:p>
    <w:tbl>
      <w:tblPr>
        <w:tblStyle w:val="2"/>
        <w:tblW w:w="0" w:type="auto"/>
        <w:tblInd w:w="0" w:type="dxa"/>
        <w:tblLayout w:type="autofit"/>
        <w:tblCellMar>
          <w:top w:w="0" w:type="dxa"/>
          <w:left w:w="108" w:type="dxa"/>
          <w:bottom w:w="0" w:type="dxa"/>
          <w:right w:w="108" w:type="dxa"/>
        </w:tblCellMar>
      </w:tblPr>
      <w:tblGrid>
        <w:gridCol w:w="715"/>
        <w:gridCol w:w="797"/>
        <w:gridCol w:w="957"/>
        <w:gridCol w:w="956"/>
        <w:gridCol w:w="1107"/>
        <w:gridCol w:w="506"/>
        <w:gridCol w:w="506"/>
        <w:gridCol w:w="506"/>
        <w:gridCol w:w="682"/>
        <w:gridCol w:w="497"/>
        <w:gridCol w:w="477"/>
        <w:gridCol w:w="606"/>
        <w:gridCol w:w="682"/>
        <w:gridCol w:w="988"/>
        <w:gridCol w:w="1074"/>
        <w:gridCol w:w="917"/>
        <w:gridCol w:w="718"/>
        <w:gridCol w:w="838"/>
        <w:gridCol w:w="797"/>
        <w:gridCol w:w="606"/>
        <w:gridCol w:w="682"/>
      </w:tblGrid>
      <w:tr>
        <w:tblPrEx>
          <w:tblCellMar>
            <w:top w:w="0" w:type="dxa"/>
            <w:left w:w="108" w:type="dxa"/>
            <w:bottom w:w="0" w:type="dxa"/>
            <w:right w:w="108" w:type="dxa"/>
          </w:tblCellMar>
        </w:tblPrEx>
        <w:trPr>
          <w:trHeight w:val="522"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right="-105" w:rightChars="-50"/>
              <w:jc w:val="center"/>
              <w:rPr>
                <w:rFonts w:ascii="黑体" w:hAnsi="黑体" w:eastAsia="黑体"/>
                <w:color w:val="auto"/>
                <w:kern w:val="0"/>
                <w:sz w:val="48"/>
                <w:szCs w:val="48"/>
              </w:rPr>
            </w:pPr>
            <w:r>
              <w:rPr>
                <w:rFonts w:hint="eastAsia" w:ascii="仿宋_GB2312" w:hAnsi="仿宋_GB2312" w:eastAsia="仿宋_GB2312" w:cs="仿宋_GB2312"/>
                <w:b/>
                <w:bCs/>
                <w:color w:val="auto"/>
                <w:kern w:val="0"/>
                <w:sz w:val="28"/>
                <w:szCs w:val="28"/>
                <w:u w:val="single"/>
              </w:rPr>
              <w:t xml:space="preserve"> 浮梁县</w:t>
            </w:r>
            <w:r>
              <w:rPr>
                <w:rFonts w:hint="eastAsia" w:ascii="仿宋_GB2312" w:hAnsi="仿宋_GB2312" w:eastAsia="仿宋_GB2312" w:cs="仿宋_GB2312"/>
                <w:b/>
                <w:bCs/>
                <w:color w:val="auto"/>
                <w:kern w:val="0"/>
                <w:sz w:val="28"/>
                <w:szCs w:val="28"/>
                <w:u w:val="single"/>
                <w:lang w:eastAsia="zh-CN"/>
              </w:rPr>
              <w:t>2024</w:t>
            </w:r>
            <w:r>
              <w:rPr>
                <w:rFonts w:hint="eastAsia" w:ascii="仿宋_GB2312" w:hAnsi="仿宋_GB2312" w:eastAsia="仿宋_GB2312" w:cs="仿宋_GB2312"/>
                <w:b/>
                <w:bCs/>
                <w:color w:val="auto"/>
                <w:kern w:val="0"/>
                <w:sz w:val="28"/>
                <w:szCs w:val="28"/>
                <w:u w:val="single"/>
              </w:rPr>
              <w:t xml:space="preserve">年  横塘坞  </w:t>
            </w:r>
            <w:r>
              <w:rPr>
                <w:rFonts w:hint="eastAsia" w:ascii="仿宋_GB2312" w:hAnsi="仿宋_GB2312" w:eastAsia="仿宋_GB2312" w:cs="仿宋_GB2312"/>
                <w:b/>
                <w:bCs/>
                <w:color w:val="auto"/>
                <w:kern w:val="0"/>
                <w:sz w:val="28"/>
                <w:szCs w:val="28"/>
              </w:rPr>
              <w:t>水库度汛方案简表(调度运用方案）</w:t>
            </w:r>
          </w:p>
        </w:tc>
      </w:tr>
      <w:tr>
        <w:tblPrEx>
          <w:tblCellMar>
            <w:top w:w="0" w:type="dxa"/>
            <w:left w:w="108" w:type="dxa"/>
            <w:bottom w:w="0" w:type="dxa"/>
            <w:right w:w="108" w:type="dxa"/>
          </w:tblCellMar>
        </w:tblPrEx>
        <w:trPr>
          <w:trHeight w:val="443"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left="-105" w:leftChars="-50" w:right="-105" w:rightChars="-50"/>
              <w:jc w:val="left"/>
              <w:rPr>
                <w:rFonts w:ascii="仿宋_GB2312" w:hAnsi="宋体"/>
                <w:b/>
                <w:bCs/>
                <w:color w:val="auto"/>
                <w:kern w:val="0"/>
              </w:rPr>
            </w:pPr>
            <w:r>
              <w:rPr>
                <w:rFonts w:hint="eastAsia" w:ascii="仿宋_GB2312" w:hAnsi="仿宋_GB2312" w:eastAsia="仿宋_GB2312" w:cs="仿宋_GB2312"/>
                <w:b/>
                <w:bCs/>
                <w:color w:val="auto"/>
                <w:kern w:val="0"/>
              </w:rPr>
              <w:t xml:space="preserve"> </w:t>
            </w:r>
            <w:r>
              <w:rPr>
                <w:rFonts w:hint="eastAsia" w:ascii="仿宋_GB2312" w:hAnsi="仿宋_GB2312" w:eastAsia="仿宋_GB2312" w:cs="仿宋_GB2312"/>
                <w:b/>
                <w:bCs/>
                <w:color w:val="auto"/>
                <w:kern w:val="0"/>
                <w:szCs w:val="21"/>
              </w:rPr>
              <w:t>所在县（市、区）：浮梁县       位置：浮梁镇新平村       所在流域及水系： 昌江支流        高程系统：黄海高程</w:t>
            </w:r>
          </w:p>
        </w:tc>
      </w:tr>
      <w:tr>
        <w:tblPrEx>
          <w:tblCellMar>
            <w:top w:w="0" w:type="dxa"/>
            <w:left w:w="108" w:type="dxa"/>
            <w:bottom w:w="0" w:type="dxa"/>
            <w:right w:w="108" w:type="dxa"/>
          </w:tblCellMar>
        </w:tblPrEx>
        <w:trPr>
          <w:trHeight w:val="218" w:hRule="atLeast"/>
        </w:trPr>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集水面积</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(平方公里)</w:t>
            </w:r>
          </w:p>
        </w:tc>
        <w:tc>
          <w:tcPr>
            <w:tcW w:w="0" w:type="auto"/>
            <w:gridSpan w:val="3"/>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大   坝</w:t>
            </w:r>
          </w:p>
        </w:tc>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库</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洪水标准</w:t>
            </w:r>
          </w:p>
        </w:tc>
        <w:tc>
          <w:tcPr>
            <w:tcW w:w="0" w:type="auto"/>
            <w:gridSpan w:val="6"/>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现有防洪安全标准</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历史最高洪水</w:t>
            </w:r>
          </w:p>
        </w:tc>
        <w:tc>
          <w:tcPr>
            <w:tcW w:w="0" w:type="auto"/>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汛期控制运用指标</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蓄  水</w:t>
            </w:r>
          </w:p>
        </w:tc>
      </w:tr>
      <w:tr>
        <w:tblPrEx>
          <w:tblCellMar>
            <w:top w:w="0" w:type="dxa"/>
            <w:left w:w="108" w:type="dxa"/>
            <w:bottom w:w="0" w:type="dxa"/>
            <w:right w:w="108" w:type="dxa"/>
          </w:tblCellMar>
        </w:tblPrEx>
        <w:trPr>
          <w:trHeight w:val="690"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坝型</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最大</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坝高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坝顶</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高程</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（米）</w:t>
            </w: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设计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校核</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频率</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洪峰</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0" w:type="auto"/>
            <w:gridSpan w:val="2"/>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(万立米/天数)</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洪水位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最大下</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泄流量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tc>
        <w:tc>
          <w:tcPr>
            <w:tcW w:w="0" w:type="auto"/>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时间</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（年月日）</w:t>
            </w:r>
          </w:p>
        </w:tc>
        <w:tc>
          <w:tcPr>
            <w:tcW w:w="0" w:type="auto"/>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最高水位（米）</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(4月1日～6月30日)</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后汛期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(7月1日～9月30日)</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正常</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高水位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r>
      <w:tr>
        <w:tblPrEx>
          <w:tblCellMar>
            <w:top w:w="0" w:type="dxa"/>
            <w:left w:w="108" w:type="dxa"/>
            <w:bottom w:w="0" w:type="dxa"/>
            <w:right w:w="108" w:type="dxa"/>
          </w:tblCellMar>
        </w:tblPrEx>
        <w:trPr>
          <w:trHeight w:val="645"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2"/>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r>
      <w:tr>
        <w:tblPrEx>
          <w:tblCellMar>
            <w:top w:w="0" w:type="dxa"/>
            <w:left w:w="108" w:type="dxa"/>
            <w:bottom w:w="0" w:type="dxa"/>
            <w:right w:w="108" w:type="dxa"/>
          </w:tblCellMar>
        </w:tblPrEx>
        <w:trPr>
          <w:trHeight w:val="270" w:hRule="atLeast"/>
        </w:trPr>
        <w:tc>
          <w:tcPr>
            <w:tcW w:w="0" w:type="auto"/>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bookmarkStart w:id="0" w:name="_GoBack" w:colFirst="0" w:colLast="19"/>
            <w:r>
              <w:rPr>
                <w:rFonts w:hint="eastAsia" w:ascii="仿宋_GB2312" w:hAnsi="仿宋_GB2312" w:eastAsia="仿宋_GB2312" w:cs="仿宋_GB2312"/>
                <w:color w:val="auto"/>
                <w:kern w:val="0"/>
                <w:sz w:val="20"/>
                <w:szCs w:val="20"/>
              </w:rPr>
              <w:t>2</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斜墙坝</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13.1</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61</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48.2</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35.23</w:t>
            </w:r>
          </w:p>
        </w:tc>
        <w:tc>
          <w:tcPr>
            <w:tcW w:w="0" w:type="auto"/>
            <w:gridSpan w:val="2"/>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67.74</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58.33</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28.49</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18"/>
                <w:szCs w:val="18"/>
              </w:rPr>
              <w:t>1998年6月26日</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58.27</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58</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39.82</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58</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39.82</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58</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39.82</w:t>
            </w:r>
          </w:p>
        </w:tc>
      </w:tr>
      <w:bookmarkEnd w:id="0"/>
      <w:tr>
        <w:tblPrEx>
          <w:tblCellMar>
            <w:top w:w="0" w:type="dxa"/>
            <w:left w:w="108" w:type="dxa"/>
            <w:bottom w:w="0" w:type="dxa"/>
            <w:right w:w="108" w:type="dxa"/>
          </w:tblCellMar>
        </w:tblPrEx>
        <w:trPr>
          <w:trHeight w:val="2276" w:hRule="atLeast"/>
        </w:trPr>
        <w:tc>
          <w:tcPr>
            <w:tcW w:w="0" w:type="auto"/>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安</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全</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度</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汛</w:t>
            </w:r>
          </w:p>
        </w:tc>
        <w:tc>
          <w:tcPr>
            <w:tcW w:w="0" w:type="auto"/>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right="105" w:rightChars="50"/>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库区站网布设及观测手段</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雨量站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水位站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水文站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个，其中遥测站</w:t>
            </w:r>
            <w:r>
              <w:rPr>
                <w:rFonts w:hint="eastAsia" w:ascii="仿宋_GB2312" w:hAnsi="仿宋_GB2312" w:eastAsia="仿宋_GB2312" w:cs="仿宋_GB2312"/>
                <w:color w:val="auto"/>
                <w:kern w:val="0"/>
                <w:sz w:val="20"/>
                <w:szCs w:val="20"/>
                <w:lang w:val="en-US" w:eastAsia="zh-CN"/>
              </w:rPr>
              <w:t xml:space="preserve">  </w:t>
            </w:r>
            <w:r>
              <w:rPr>
                <w:rFonts w:hint="eastAsia" w:ascii="仿宋_GB2312" w:hAnsi="仿宋_GB2312" w:eastAsia="仿宋_GB2312" w:cs="仿宋_GB2312"/>
                <w:color w:val="auto"/>
                <w:kern w:val="0"/>
                <w:sz w:val="20"/>
                <w:szCs w:val="20"/>
              </w:rPr>
              <w:t>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预   报</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预报精度：无                             级  别：</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预见期：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手算，电算：</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操作单位：</w:t>
            </w:r>
          </w:p>
        </w:tc>
        <w:tc>
          <w:tcPr>
            <w:tcW w:w="0" w:type="auto"/>
            <w:gridSpan w:val="10"/>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调        度       方       式</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标准      控泄条件      下泄流量       保护对象      调度权限</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gridSpan w:val="6"/>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防御超标准洪水措施：</w:t>
            </w:r>
          </w:p>
          <w:p>
            <w:pPr>
              <w:widowControl/>
              <w:numPr>
                <w:ilvl w:val="0"/>
                <w:numId w:val="3"/>
              </w:numPr>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加大巡查次数</w:t>
            </w:r>
          </w:p>
          <w:p>
            <w:pPr>
              <w:widowControl/>
              <w:numPr>
                <w:ilvl w:val="0"/>
                <w:numId w:val="3"/>
              </w:numPr>
              <w:adjustRightInd w:val="0"/>
              <w:snapToGrid w:val="0"/>
              <w:spacing w:line="240" w:lineRule="exact"/>
              <w:ind w:firstLine="400" w:firstLineChars="200"/>
              <w:jc w:val="left"/>
              <w:rPr>
                <w:rFonts w:hint="default"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开闸泄洪</w:t>
            </w:r>
          </w:p>
          <w:p>
            <w:pPr>
              <w:widowControl/>
              <w:numPr>
                <w:ilvl w:val="0"/>
                <w:numId w:val="3"/>
              </w:numPr>
              <w:adjustRightInd w:val="0"/>
              <w:snapToGrid w:val="0"/>
              <w:spacing w:line="240" w:lineRule="exact"/>
              <w:ind w:firstLine="400" w:firstLineChars="200"/>
              <w:jc w:val="left"/>
              <w:rPr>
                <w:rFonts w:hint="default"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检查溢洪道及水库运行情况</w:t>
            </w:r>
          </w:p>
          <w:p>
            <w:pPr>
              <w:widowControl/>
              <w:numPr>
                <w:ilvl w:val="0"/>
                <w:numId w:val="3"/>
              </w:numPr>
              <w:adjustRightInd w:val="0"/>
              <w:snapToGrid w:val="0"/>
              <w:spacing w:line="240" w:lineRule="exact"/>
              <w:ind w:firstLine="400" w:firstLineChars="200"/>
              <w:jc w:val="left"/>
              <w:rPr>
                <w:rFonts w:hint="default"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坚持24小时值班</w:t>
            </w:r>
          </w:p>
        </w:tc>
      </w:tr>
      <w:tr>
        <w:tblPrEx>
          <w:tblCellMar>
            <w:top w:w="0" w:type="dxa"/>
            <w:left w:w="108" w:type="dxa"/>
            <w:bottom w:w="0" w:type="dxa"/>
            <w:right w:w="108" w:type="dxa"/>
          </w:tblCellMar>
        </w:tblPrEx>
        <w:trPr>
          <w:trHeight w:val="454" w:hRule="atLeast"/>
        </w:trPr>
        <w:tc>
          <w:tcPr>
            <w:tcW w:w="0" w:type="auto"/>
            <w:vMerge w:val="restart"/>
            <w:tcBorders>
              <w:top w:val="nil"/>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要</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目</w:t>
            </w:r>
          </w:p>
        </w:tc>
        <w:tc>
          <w:tcPr>
            <w:tcW w:w="0" w:type="auto"/>
            <w:gridSpan w:val="4"/>
            <w:vMerge w:val="restart"/>
            <w:tcBorders>
              <w:top w:val="single" w:color="auto" w:sz="4" w:space="0"/>
              <w:left w:val="single" w:color="auto" w:sz="4" w:space="0"/>
              <w:right w:val="single" w:color="auto" w:sz="4" w:space="0"/>
            </w:tcBorders>
            <w:shd w:val="clear" w:color="auto" w:fill="auto"/>
            <w:noWrap w:val="0"/>
            <w:vAlign w:val="top"/>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影响工程安全的质量问题及处置措施：</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大坝清杂</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打捞库内枯枝</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lang w:eastAsia="zh-CN"/>
              </w:rPr>
              <w:t>控制水位</w:t>
            </w: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lang w:eastAsia="zh-CN"/>
              </w:rPr>
            </w:pPr>
          </w:p>
        </w:tc>
        <w:tc>
          <w:tcPr>
            <w:tcW w:w="0" w:type="auto"/>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 xml:space="preserve"> 工程内、外交通状况：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通讯状况：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通电状况：</w:t>
            </w:r>
            <w:r>
              <w:rPr>
                <w:rFonts w:hint="eastAsia" w:ascii="仿宋_GB2312" w:hAnsi="仿宋_GB2312" w:eastAsia="仿宋_GB2312" w:cs="仿宋_GB2312"/>
                <w:color w:val="auto"/>
                <w:kern w:val="0"/>
                <w:sz w:val="20"/>
                <w:szCs w:val="20"/>
                <w:lang w:eastAsia="zh-CN"/>
              </w:rPr>
              <w:t>好</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tc>
        <w:tc>
          <w:tcPr>
            <w:tcW w:w="0" w:type="auto"/>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color w:val="auto"/>
                <w:kern w:val="0"/>
                <w:sz w:val="20"/>
                <w:szCs w:val="20"/>
                <w:lang w:eastAsia="zh-CN"/>
              </w:rPr>
            </w:pPr>
            <w:r>
              <w:rPr>
                <w:rFonts w:hint="eastAsia" w:ascii="仿宋_GB2312" w:hAnsi="仿宋_GB2312" w:eastAsia="仿宋_GB2312" w:cs="仿宋_GB2312"/>
                <w:color w:val="auto"/>
                <w:kern w:val="0"/>
                <w:sz w:val="20"/>
                <w:szCs w:val="20"/>
              </w:rPr>
              <w:t>备用电源：</w:t>
            </w:r>
            <w:r>
              <w:rPr>
                <w:rFonts w:hint="eastAsia" w:ascii="仿宋_GB2312" w:hAnsi="仿宋_GB2312" w:eastAsia="仿宋_GB2312" w:cs="仿宋_GB2312"/>
                <w:color w:val="auto"/>
                <w:kern w:val="0"/>
                <w:sz w:val="20"/>
                <w:szCs w:val="20"/>
                <w:lang w:eastAsia="zh-CN"/>
              </w:rPr>
              <w:t>无</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安置位置：</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电源类别：</w:t>
            </w:r>
          </w:p>
          <w:p>
            <w:pPr>
              <w:widowControl/>
              <w:adjustRightInd w:val="0"/>
              <w:snapToGrid w:val="0"/>
              <w:spacing w:line="240" w:lineRule="exact"/>
              <w:jc w:val="left"/>
              <w:rPr>
                <w:rFonts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功    率：</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泄洪设施要求的启动功率：</w:t>
            </w:r>
          </w:p>
          <w:p>
            <w:pPr>
              <w:widowControl/>
              <w:adjustRightInd w:val="0"/>
              <w:snapToGrid w:val="0"/>
              <w:spacing w:line="240" w:lineRule="exact"/>
              <w:jc w:val="left"/>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水库备用电源的启动功率：</w:t>
            </w:r>
          </w:p>
        </w:tc>
        <w:tc>
          <w:tcPr>
            <w:tcW w:w="0" w:type="auto"/>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行政责任人</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任爱民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镇党委副书记、镇长</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13707982523</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主管责任人</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eastAsia="zh-CN"/>
              </w:rPr>
              <w:t>黄杰权</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浮梁镇</w:t>
            </w:r>
            <w:r>
              <w:rPr>
                <w:rFonts w:hint="eastAsia" w:ascii="仿宋_GB2312" w:hAnsi="仿宋_GB2312" w:eastAsia="仿宋_GB2312" w:cs="仿宋_GB2312"/>
                <w:color w:val="auto"/>
                <w:kern w:val="0"/>
                <w:sz w:val="20"/>
                <w:szCs w:val="20"/>
                <w:lang w:eastAsia="zh-CN"/>
              </w:rPr>
              <w:t>党委委员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15807086793</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管理责任人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lang w:val="en-US" w:eastAsia="zh-CN"/>
              </w:rPr>
              <w:t>何梁</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新平村书记</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lang w:val="en-US" w:eastAsia="zh-CN"/>
              </w:rPr>
              <w:t>18870388505</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技术责任人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rPr>
            </w:pPr>
            <w:r>
              <w:rPr>
                <w:rFonts w:hint="eastAsia" w:ascii="仿宋_GB2312" w:hAnsi="仿宋_GB2312" w:eastAsia="仿宋_GB2312" w:cs="仿宋_GB2312"/>
                <w:color w:val="auto"/>
                <w:kern w:val="0"/>
                <w:sz w:val="20"/>
                <w:szCs w:val="20"/>
              </w:rPr>
              <w:t>电话</w:t>
            </w:r>
          </w:p>
        </w:tc>
      </w:tr>
      <w:tr>
        <w:tblPrEx>
          <w:tblCellMar>
            <w:top w:w="0" w:type="dxa"/>
            <w:left w:w="108" w:type="dxa"/>
            <w:bottom w:w="0" w:type="dxa"/>
            <w:right w:w="108" w:type="dxa"/>
          </w:tblCellMar>
        </w:tblPrEx>
        <w:trPr>
          <w:trHeight w:val="454"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rPr>
            </w:pP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余顺发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eastAsia="zh-CN"/>
              </w:rPr>
            </w:pPr>
            <w:r>
              <w:rPr>
                <w:rFonts w:hint="eastAsia" w:ascii="仿宋_GB2312" w:hAnsi="仿宋_GB2312" w:eastAsia="仿宋_GB2312" w:cs="仿宋_GB2312"/>
                <w:color w:val="auto"/>
                <w:kern w:val="0"/>
                <w:sz w:val="20"/>
                <w:szCs w:val="20"/>
              </w:rPr>
              <w:t>农业农村办主任</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0"/>
                <w:szCs w:val="20"/>
              </w:rPr>
              <w:t>13407988565</w:t>
            </w:r>
          </w:p>
        </w:tc>
      </w:tr>
      <w:tr>
        <w:tblPrEx>
          <w:tblCellMar>
            <w:top w:w="0" w:type="dxa"/>
            <w:left w:w="108" w:type="dxa"/>
            <w:bottom w:w="0" w:type="dxa"/>
            <w:right w:w="108" w:type="dxa"/>
          </w:tblCellMar>
        </w:tblPrEx>
        <w:trPr>
          <w:trHeight w:val="454" w:hRule="atLeast"/>
        </w:trPr>
        <w:tc>
          <w:tcPr>
            <w:tcW w:w="0" w:type="auto"/>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4"/>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color w:val="auto"/>
                <w:kern w:val="0"/>
                <w:sz w:val="21"/>
                <w:szCs w:val="21"/>
              </w:rPr>
            </w:pPr>
          </w:p>
        </w:tc>
        <w:tc>
          <w:tcPr>
            <w:tcW w:w="0" w:type="auto"/>
            <w:tcBorders>
              <w:top w:val="single" w:color="auto" w:sz="4" w:space="0"/>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1"/>
                <w:szCs w:val="21"/>
                <w:lang w:val="en-US" w:eastAsia="zh-CN"/>
              </w:rPr>
            </w:pPr>
            <w:r>
              <w:rPr>
                <w:rFonts w:hint="eastAsia" w:ascii="仿宋_GB2312" w:hAnsi="仿宋_GB2312" w:eastAsia="仿宋_GB2312" w:cs="仿宋_GB2312"/>
                <w:color w:val="auto"/>
                <w:kern w:val="0"/>
                <w:sz w:val="21"/>
                <w:szCs w:val="21"/>
                <w:lang w:val="en-US" w:eastAsia="zh-CN"/>
              </w:rPr>
              <w:t>巡查责任人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吴海生</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巡查员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default" w:ascii="仿宋_GB2312" w:hAnsi="仿宋_GB2312" w:eastAsia="仿宋_GB2312" w:cs="仿宋_GB2312"/>
                <w:color w:val="auto"/>
                <w:kern w:val="0"/>
                <w:sz w:val="20"/>
                <w:szCs w:val="20"/>
                <w:lang w:val="en-US" w:eastAsia="zh-CN"/>
              </w:rPr>
            </w:pPr>
            <w:r>
              <w:rPr>
                <w:rFonts w:hint="eastAsia" w:ascii="仿宋_GB2312" w:hAnsi="仿宋_GB2312" w:eastAsia="仿宋_GB2312" w:cs="仿宋_GB2312"/>
                <w:color w:val="auto"/>
                <w:kern w:val="0"/>
                <w:sz w:val="20"/>
                <w:szCs w:val="20"/>
                <w:lang w:val="en-US" w:eastAsia="zh-CN"/>
              </w:rPr>
              <w:t>15079853895</w:t>
            </w:r>
          </w:p>
        </w:tc>
      </w:tr>
    </w:tbl>
    <w:p>
      <w:pPr>
        <w:keepNext w:val="0"/>
        <w:keepLines w:val="0"/>
        <w:pageBreakBefore w:val="0"/>
        <w:widowControl w:val="0"/>
        <w:numPr>
          <w:ilvl w:val="0"/>
          <w:numId w:val="0"/>
        </w:numPr>
        <w:kinsoku/>
        <w:wordWrap/>
        <w:overflowPunct/>
        <w:topLinePunct w:val="0"/>
        <w:autoSpaceDE/>
        <w:autoSpaceDN/>
        <w:bidi w:val="0"/>
        <w:adjustRightInd/>
        <w:snapToGrid/>
        <w:ind w:leftChars="0"/>
        <w:textAlignment w:val="auto"/>
        <w:rPr>
          <w:rFonts w:hint="default" w:ascii="仿宋_GB2312" w:hAnsi="仿宋_GB2312" w:eastAsia="仿宋_GB2312" w:cs="仿宋_GB2312"/>
          <w:sz w:val="32"/>
          <w:szCs w:val="32"/>
          <w:lang w:val="en-US" w:eastAsia="zh-CN"/>
        </w:rPr>
      </w:pPr>
    </w:p>
    <w:sectPr>
      <w:pgSz w:w="16838" w:h="11906" w:orient="landscape"/>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0EEC2B0"/>
    <w:multiLevelType w:val="singleLevel"/>
    <w:tmpl w:val="30EEC2B0"/>
    <w:lvl w:ilvl="0" w:tentative="0">
      <w:start w:val="1"/>
      <w:numFmt w:val="decimal"/>
      <w:lvlText w:val="%1."/>
      <w:lvlJc w:val="left"/>
      <w:pPr>
        <w:tabs>
          <w:tab w:val="left" w:pos="312"/>
        </w:tabs>
      </w:pPr>
    </w:lvl>
  </w:abstractNum>
  <w:abstractNum w:abstractNumId="1">
    <w:nsid w:val="443E7D15"/>
    <w:multiLevelType w:val="singleLevel"/>
    <w:tmpl w:val="443E7D15"/>
    <w:lvl w:ilvl="0" w:tentative="0">
      <w:start w:val="1"/>
      <w:numFmt w:val="decimal"/>
      <w:lvlText w:val="%1."/>
      <w:lvlJc w:val="left"/>
      <w:pPr>
        <w:tabs>
          <w:tab w:val="left" w:pos="312"/>
        </w:tabs>
      </w:pPr>
    </w:lvl>
  </w:abstractNum>
  <w:abstractNum w:abstractNumId="2">
    <w:nsid w:val="677224D3"/>
    <w:multiLevelType w:val="singleLevel"/>
    <w:tmpl w:val="677224D3"/>
    <w:lvl w:ilvl="0" w:tentative="0">
      <w:start w:val="2"/>
      <w:numFmt w:val="decimal"/>
      <w:suff w:val="nothing"/>
      <w:lvlText w:val="%1、"/>
      <w:lvlJc w:val="left"/>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ZlMzQ1MjVkNzNiNmJmMDk2Y2NhNDBiMWEyYzViMDUifQ=="/>
  </w:docVars>
  <w:rsids>
    <w:rsidRoot w:val="488A7CE8"/>
    <w:rsid w:val="000749E3"/>
    <w:rsid w:val="047578AC"/>
    <w:rsid w:val="19A75E26"/>
    <w:rsid w:val="1E982AC5"/>
    <w:rsid w:val="21616487"/>
    <w:rsid w:val="228F4698"/>
    <w:rsid w:val="265850E9"/>
    <w:rsid w:val="2793235E"/>
    <w:rsid w:val="29EC43C1"/>
    <w:rsid w:val="39A607ED"/>
    <w:rsid w:val="39C03EFA"/>
    <w:rsid w:val="3C1934F8"/>
    <w:rsid w:val="41E713B9"/>
    <w:rsid w:val="426364AF"/>
    <w:rsid w:val="488833CF"/>
    <w:rsid w:val="488A7CE8"/>
    <w:rsid w:val="4B040D0D"/>
    <w:rsid w:val="51EE2FE5"/>
    <w:rsid w:val="52BF7DD2"/>
    <w:rsid w:val="534C2009"/>
    <w:rsid w:val="5B857E0A"/>
    <w:rsid w:val="5C690046"/>
    <w:rsid w:val="60BC5AC6"/>
    <w:rsid w:val="6B9553BC"/>
    <w:rsid w:val="703D2CCD"/>
    <w:rsid w:val="74D578C4"/>
    <w:rsid w:val="771340D7"/>
    <w:rsid w:val="7A88279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2024-02-24T02:33:00Z</dcterms:created>
  <dc:creator>浮梁文印社 古月图文 二部</dc:creator>
  <cp:lastModifiedBy>浮梁县</cp:lastModifiedBy>
  <cp:lastPrinted>2024-03-06T06:19:00Z</cp:lastPrinted>
  <dcterms:modified xsi:type="dcterms:W3CDTF">2024-03-12T08:26:06Z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BCCD84704981493DB8459074265D4BED_13</vt:lpwstr>
  </property>
</Properties>
</file>